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4E4B" w14:textId="56D1FABF" w:rsidR="003F7CE9" w:rsidRPr="009A1E1A" w:rsidRDefault="003F7CE9" w:rsidP="0096446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A1E1A">
        <w:rPr>
          <w:rFonts w:ascii="Arial" w:hAnsi="Arial" w:cs="Arial"/>
          <w:bCs/>
          <w:spacing w:val="-3"/>
          <w:sz w:val="22"/>
          <w:szCs w:val="22"/>
        </w:rPr>
        <w:t xml:space="preserve">The Police Powers and Responsibilities and Other Legislation Amendment Bill 2021 (the Bill) amends </w:t>
      </w:r>
      <w:r w:rsidR="00AE3486">
        <w:rPr>
          <w:rFonts w:ascii="Arial" w:hAnsi="Arial" w:cs="Arial"/>
          <w:bCs/>
          <w:spacing w:val="-3"/>
          <w:sz w:val="22"/>
          <w:szCs w:val="22"/>
        </w:rPr>
        <w:t>various laws</w:t>
      </w:r>
      <w:r w:rsidRPr="009A1E1A">
        <w:rPr>
          <w:rFonts w:ascii="Arial" w:hAnsi="Arial" w:cs="Arial"/>
          <w:bCs/>
          <w:spacing w:val="-3"/>
          <w:sz w:val="22"/>
          <w:szCs w:val="22"/>
        </w:rPr>
        <w:t xml:space="preserve"> to enhance the delivery of efficient, quality</w:t>
      </w:r>
      <w:r w:rsidR="00AA37DF">
        <w:rPr>
          <w:rFonts w:ascii="Arial" w:hAnsi="Arial" w:cs="Arial"/>
          <w:bCs/>
          <w:spacing w:val="-3"/>
          <w:sz w:val="22"/>
          <w:szCs w:val="22"/>
        </w:rPr>
        <w:t>,</w:t>
      </w:r>
      <w:r w:rsidRPr="009A1E1A">
        <w:rPr>
          <w:rFonts w:ascii="Arial" w:hAnsi="Arial" w:cs="Arial"/>
          <w:bCs/>
          <w:spacing w:val="-3"/>
          <w:sz w:val="22"/>
          <w:szCs w:val="22"/>
        </w:rPr>
        <w:t xml:space="preserve"> front line services.</w:t>
      </w:r>
    </w:p>
    <w:p w14:paraId="738A958B" w14:textId="5B5A35E6" w:rsidR="00D601BB" w:rsidRDefault="00D601BB" w:rsidP="0096446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601BB">
        <w:rPr>
          <w:rFonts w:ascii="Arial" w:hAnsi="Arial" w:cs="Arial"/>
          <w:bCs/>
          <w:spacing w:val="-3"/>
          <w:sz w:val="22"/>
          <w:szCs w:val="22"/>
        </w:rPr>
        <w:t>The Bill expand</w:t>
      </w:r>
      <w:r w:rsidR="003B12B7">
        <w:rPr>
          <w:rFonts w:ascii="Arial" w:hAnsi="Arial" w:cs="Arial"/>
          <w:bCs/>
          <w:spacing w:val="-3"/>
          <w:sz w:val="22"/>
          <w:szCs w:val="22"/>
        </w:rPr>
        <w:t>s</w:t>
      </w:r>
      <w:r w:rsidRPr="00D601BB">
        <w:rPr>
          <w:rFonts w:ascii="Arial" w:hAnsi="Arial" w:cs="Arial"/>
          <w:bCs/>
          <w:spacing w:val="-3"/>
          <w:sz w:val="22"/>
          <w:szCs w:val="22"/>
        </w:rPr>
        <w:t xml:space="preserve"> the existing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police </w:t>
      </w:r>
      <w:r w:rsidRPr="00D601BB">
        <w:rPr>
          <w:rFonts w:ascii="Arial" w:hAnsi="Arial" w:cs="Arial"/>
          <w:bCs/>
          <w:spacing w:val="-3"/>
          <w:sz w:val="22"/>
          <w:szCs w:val="22"/>
        </w:rPr>
        <w:t xml:space="preserve">banning notice regime </w:t>
      </w:r>
      <w:r w:rsidR="003B12B7">
        <w:rPr>
          <w:rFonts w:ascii="Arial" w:hAnsi="Arial" w:cs="Arial"/>
          <w:bCs/>
          <w:spacing w:val="-3"/>
          <w:sz w:val="22"/>
          <w:szCs w:val="22"/>
        </w:rPr>
        <w:t xml:space="preserve">to apply </w:t>
      </w:r>
      <w:r w:rsidRPr="00D601BB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="00661E83">
        <w:rPr>
          <w:rFonts w:ascii="Arial" w:hAnsi="Arial" w:cs="Arial"/>
          <w:bCs/>
          <w:spacing w:val="-3"/>
          <w:sz w:val="22"/>
          <w:szCs w:val="22"/>
        </w:rPr>
        <w:t>adult</w:t>
      </w:r>
      <w:r w:rsidR="003B12B7">
        <w:rPr>
          <w:rFonts w:ascii="Arial" w:hAnsi="Arial" w:cs="Arial"/>
          <w:bCs/>
          <w:spacing w:val="-3"/>
          <w:sz w:val="22"/>
          <w:szCs w:val="22"/>
        </w:rPr>
        <w:t>s</w:t>
      </w:r>
      <w:r w:rsidRPr="00D601B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61E83">
        <w:rPr>
          <w:rFonts w:ascii="Arial" w:hAnsi="Arial" w:cs="Arial"/>
          <w:bCs/>
          <w:spacing w:val="-3"/>
          <w:sz w:val="22"/>
          <w:szCs w:val="22"/>
        </w:rPr>
        <w:t>who</w:t>
      </w:r>
      <w:r w:rsidRPr="00D601BB">
        <w:rPr>
          <w:rFonts w:ascii="Arial" w:hAnsi="Arial" w:cs="Arial"/>
          <w:bCs/>
          <w:spacing w:val="-3"/>
          <w:sz w:val="22"/>
          <w:szCs w:val="22"/>
        </w:rPr>
        <w:t xml:space="preserve"> unlawfully posses</w:t>
      </w:r>
      <w:r w:rsidR="00661E83">
        <w:rPr>
          <w:rFonts w:ascii="Arial" w:hAnsi="Arial" w:cs="Arial"/>
          <w:bCs/>
          <w:spacing w:val="-3"/>
          <w:sz w:val="22"/>
          <w:szCs w:val="22"/>
        </w:rPr>
        <w:t>s</w:t>
      </w:r>
      <w:r w:rsidRPr="00D601BB">
        <w:rPr>
          <w:rFonts w:ascii="Arial" w:hAnsi="Arial" w:cs="Arial"/>
          <w:bCs/>
          <w:spacing w:val="-3"/>
          <w:sz w:val="22"/>
          <w:szCs w:val="22"/>
        </w:rPr>
        <w:t xml:space="preserve"> a knife in licensed premises, </w:t>
      </w:r>
      <w:r w:rsidR="00AA37DF">
        <w:rPr>
          <w:rFonts w:ascii="Arial" w:hAnsi="Arial" w:cs="Arial"/>
          <w:bCs/>
          <w:spacing w:val="-3"/>
          <w:sz w:val="22"/>
          <w:szCs w:val="22"/>
        </w:rPr>
        <w:t xml:space="preserve">a </w:t>
      </w:r>
      <w:r w:rsidR="00236006">
        <w:rPr>
          <w:rFonts w:ascii="Arial" w:hAnsi="Arial" w:cs="Arial"/>
          <w:bCs/>
          <w:spacing w:val="-3"/>
          <w:sz w:val="22"/>
          <w:szCs w:val="22"/>
        </w:rPr>
        <w:t xml:space="preserve">public place in a </w:t>
      </w:r>
      <w:r w:rsidRPr="00D601BB">
        <w:rPr>
          <w:rFonts w:ascii="Arial" w:hAnsi="Arial" w:cs="Arial"/>
          <w:bCs/>
          <w:spacing w:val="-3"/>
          <w:sz w:val="22"/>
          <w:szCs w:val="22"/>
        </w:rPr>
        <w:t xml:space="preserve">safe night precinct and public events where alcohol is sold. </w:t>
      </w:r>
    </w:p>
    <w:p w14:paraId="2697F0E8" w14:textId="05EFC285" w:rsidR="00FF6881" w:rsidRDefault="00FF6881" w:rsidP="0096446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also creates a </w:t>
      </w:r>
      <w:r w:rsidR="00236006">
        <w:rPr>
          <w:rFonts w:ascii="Arial" w:hAnsi="Arial" w:cs="Arial"/>
          <w:bCs/>
          <w:spacing w:val="-3"/>
          <w:sz w:val="22"/>
          <w:szCs w:val="22"/>
        </w:rPr>
        <w:t>court-based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removal order scheme for sentenced or remanded prisoners in police custody</w:t>
      </w:r>
      <w:r w:rsidR="00762617">
        <w:rPr>
          <w:rFonts w:ascii="Arial" w:hAnsi="Arial" w:cs="Arial"/>
          <w:bCs/>
          <w:spacing w:val="-3"/>
          <w:sz w:val="22"/>
          <w:szCs w:val="22"/>
        </w:rPr>
        <w:t xml:space="preserve"> to assist police</w:t>
      </w:r>
      <w:r>
        <w:rPr>
          <w:rFonts w:ascii="Arial" w:hAnsi="Arial" w:cs="Arial"/>
          <w:bCs/>
          <w:spacing w:val="-3"/>
          <w:sz w:val="22"/>
          <w:szCs w:val="22"/>
        </w:rPr>
        <w:t>. Th</w:t>
      </w:r>
      <w:r w:rsidR="003B12B7">
        <w:rPr>
          <w:rFonts w:ascii="Arial" w:hAnsi="Arial" w:cs="Arial"/>
          <w:bCs/>
          <w:spacing w:val="-3"/>
          <w:sz w:val="22"/>
          <w:szCs w:val="22"/>
        </w:rPr>
        <w:t xml:space="preserve">is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addresses </w:t>
      </w:r>
      <w:r w:rsidR="00732299">
        <w:rPr>
          <w:rFonts w:ascii="Arial" w:hAnsi="Arial" w:cs="Arial"/>
          <w:bCs/>
          <w:spacing w:val="-3"/>
          <w:sz w:val="22"/>
          <w:szCs w:val="22"/>
        </w:rPr>
        <w:t xml:space="preserve">the current situation where </w:t>
      </w:r>
      <w:r>
        <w:rPr>
          <w:rFonts w:ascii="Arial" w:hAnsi="Arial" w:cs="Arial"/>
          <w:bCs/>
          <w:spacing w:val="-3"/>
          <w:sz w:val="22"/>
          <w:szCs w:val="22"/>
        </w:rPr>
        <w:t>prisoner</w:t>
      </w:r>
      <w:r w:rsidR="003B12B7">
        <w:rPr>
          <w:rFonts w:ascii="Arial" w:hAnsi="Arial" w:cs="Arial"/>
          <w:bCs/>
          <w:spacing w:val="-3"/>
          <w:sz w:val="22"/>
          <w:szCs w:val="22"/>
        </w:rPr>
        <w:t>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can only be removed to assist police when in </w:t>
      </w:r>
      <w:r w:rsidR="2796151B" w:rsidRPr="172C1C70">
        <w:rPr>
          <w:rFonts w:ascii="Arial" w:hAnsi="Arial" w:cs="Arial"/>
          <w:spacing w:val="-3"/>
          <w:sz w:val="22"/>
          <w:szCs w:val="22"/>
        </w:rPr>
        <w:t xml:space="preserve">Queensland </w:t>
      </w:r>
      <w:r>
        <w:rPr>
          <w:rFonts w:ascii="Arial" w:hAnsi="Arial" w:cs="Arial"/>
          <w:bCs/>
          <w:spacing w:val="-3"/>
          <w:sz w:val="22"/>
          <w:szCs w:val="22"/>
        </w:rPr>
        <w:t>Corrective Services</w:t>
      </w:r>
      <w:r w:rsidR="00553F33">
        <w:rPr>
          <w:rFonts w:ascii="Arial" w:hAnsi="Arial" w:cs="Arial"/>
          <w:bCs/>
          <w:spacing w:val="-3"/>
          <w:sz w:val="22"/>
          <w:szCs w:val="22"/>
        </w:rPr>
        <w:t>’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07DBD">
        <w:rPr>
          <w:rFonts w:ascii="Arial" w:hAnsi="Arial" w:cs="Arial"/>
          <w:bCs/>
          <w:spacing w:val="-3"/>
          <w:sz w:val="22"/>
          <w:szCs w:val="22"/>
        </w:rPr>
        <w:t>custody.</w:t>
      </w:r>
    </w:p>
    <w:p w14:paraId="2E01AE0D" w14:textId="75B252B4" w:rsidR="00EE3A97" w:rsidRDefault="00F35833" w:rsidP="0096446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To assist in Queensland’s participation in </w:t>
      </w:r>
      <w:r w:rsidR="001673C8">
        <w:rPr>
          <w:rFonts w:ascii="Arial" w:hAnsi="Arial" w:cs="Arial"/>
          <w:bCs/>
          <w:spacing w:val="-3"/>
          <w:sz w:val="22"/>
          <w:szCs w:val="22"/>
        </w:rPr>
        <w:t xml:space="preserve">illicit </w:t>
      </w:r>
      <w:r>
        <w:rPr>
          <w:rFonts w:ascii="Arial" w:hAnsi="Arial" w:cs="Arial"/>
          <w:bCs/>
          <w:spacing w:val="-3"/>
          <w:sz w:val="22"/>
          <w:szCs w:val="22"/>
        </w:rPr>
        <w:t>drug profiling programs, t</w:t>
      </w:r>
      <w:r w:rsidR="00EE3A97">
        <w:rPr>
          <w:rFonts w:ascii="Arial" w:hAnsi="Arial" w:cs="Arial"/>
          <w:bCs/>
          <w:spacing w:val="-3"/>
          <w:sz w:val="22"/>
          <w:szCs w:val="22"/>
        </w:rPr>
        <w:t xml:space="preserve">he </w:t>
      </w:r>
      <w:r w:rsidR="00AE3486">
        <w:rPr>
          <w:rFonts w:ascii="Arial" w:hAnsi="Arial" w:cs="Arial"/>
          <w:bCs/>
          <w:spacing w:val="-3"/>
          <w:sz w:val="22"/>
          <w:szCs w:val="22"/>
        </w:rPr>
        <w:t xml:space="preserve">Police </w:t>
      </w:r>
      <w:r w:rsidR="00EE3A97">
        <w:rPr>
          <w:rFonts w:ascii="Arial" w:hAnsi="Arial" w:cs="Arial"/>
          <w:bCs/>
          <w:spacing w:val="-3"/>
          <w:sz w:val="22"/>
          <w:szCs w:val="22"/>
        </w:rPr>
        <w:t xml:space="preserve">Commissioner will </w:t>
      </w:r>
      <w:r w:rsidR="00AE3486">
        <w:rPr>
          <w:rFonts w:ascii="Arial" w:hAnsi="Arial" w:cs="Arial"/>
          <w:bCs/>
          <w:spacing w:val="-3"/>
          <w:sz w:val="22"/>
          <w:szCs w:val="22"/>
        </w:rPr>
        <w:t xml:space="preserve">be authorised </w:t>
      </w:r>
      <w:r w:rsidR="00EE3A97">
        <w:rPr>
          <w:rFonts w:ascii="Arial" w:hAnsi="Arial" w:cs="Arial"/>
          <w:bCs/>
          <w:spacing w:val="-3"/>
          <w:sz w:val="22"/>
          <w:szCs w:val="22"/>
        </w:rPr>
        <w:t xml:space="preserve">to provide samples of forfeited drugs </w:t>
      </w:r>
      <w:r w:rsidR="00C04220">
        <w:rPr>
          <w:rFonts w:ascii="Arial" w:hAnsi="Arial" w:cs="Arial"/>
          <w:bCs/>
          <w:spacing w:val="-3"/>
          <w:sz w:val="22"/>
          <w:szCs w:val="22"/>
        </w:rPr>
        <w:t xml:space="preserve">no longer required by </w:t>
      </w:r>
      <w:r w:rsidR="008717E1">
        <w:rPr>
          <w:rFonts w:ascii="Arial" w:hAnsi="Arial" w:cs="Arial"/>
          <w:bCs/>
          <w:spacing w:val="-3"/>
          <w:sz w:val="22"/>
          <w:szCs w:val="22"/>
        </w:rPr>
        <w:t>police</w:t>
      </w:r>
      <w:r w:rsidR="00CD2D72">
        <w:rPr>
          <w:rFonts w:ascii="Arial" w:hAnsi="Arial" w:cs="Arial"/>
          <w:bCs/>
          <w:spacing w:val="-3"/>
          <w:sz w:val="22"/>
          <w:szCs w:val="22"/>
        </w:rPr>
        <w:t xml:space="preserve"> or the courts</w:t>
      </w:r>
      <w:r w:rsidR="001B71FB">
        <w:rPr>
          <w:rFonts w:ascii="Arial" w:hAnsi="Arial" w:cs="Arial"/>
          <w:bCs/>
          <w:spacing w:val="-3"/>
          <w:sz w:val="22"/>
          <w:szCs w:val="22"/>
        </w:rPr>
        <w:t>,</w:t>
      </w:r>
      <w:r w:rsidR="00C0422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E3A97">
        <w:rPr>
          <w:rFonts w:ascii="Arial" w:hAnsi="Arial" w:cs="Arial"/>
          <w:bCs/>
          <w:spacing w:val="-3"/>
          <w:sz w:val="22"/>
          <w:szCs w:val="22"/>
        </w:rPr>
        <w:t xml:space="preserve">to the chief executive officer of </w:t>
      </w:r>
      <w:r w:rsidR="00753893">
        <w:rPr>
          <w:rFonts w:ascii="Arial" w:hAnsi="Arial" w:cs="Arial"/>
          <w:bCs/>
          <w:spacing w:val="-3"/>
          <w:sz w:val="22"/>
          <w:szCs w:val="22"/>
        </w:rPr>
        <w:t>nominated</w:t>
      </w:r>
      <w:r w:rsidR="00EE3A9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36006">
        <w:rPr>
          <w:rFonts w:ascii="Arial" w:hAnsi="Arial" w:cs="Arial"/>
          <w:bCs/>
          <w:spacing w:val="-3"/>
          <w:sz w:val="22"/>
          <w:szCs w:val="22"/>
        </w:rPr>
        <w:t>entities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50D43D02" w14:textId="219C4B8A" w:rsidR="00144B0B" w:rsidRPr="00762617" w:rsidRDefault="00FF6881" w:rsidP="00964467">
      <w:pPr>
        <w:numPr>
          <w:ilvl w:val="0"/>
          <w:numId w:val="1"/>
        </w:numPr>
        <w:tabs>
          <w:tab w:val="clear" w:pos="720"/>
          <w:tab w:val="num" w:pos="360"/>
          <w:tab w:val="num" w:pos="786"/>
          <w:tab w:val="num" w:pos="144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62617">
        <w:rPr>
          <w:rFonts w:ascii="Arial" w:hAnsi="Arial" w:cs="Arial"/>
          <w:bCs/>
          <w:spacing w:val="-3"/>
          <w:sz w:val="22"/>
          <w:szCs w:val="22"/>
        </w:rPr>
        <w:t xml:space="preserve">Reportable sex offender provisions under the </w:t>
      </w:r>
      <w:r w:rsidRPr="00762617">
        <w:rPr>
          <w:rFonts w:ascii="Arial" w:hAnsi="Arial" w:cs="Arial"/>
          <w:bCs/>
          <w:i/>
          <w:iCs/>
          <w:spacing w:val="-3"/>
          <w:sz w:val="22"/>
          <w:szCs w:val="22"/>
        </w:rPr>
        <w:t>Child Protection (Offender Reporting and Offender Prohibition Order) Act 2004</w:t>
      </w:r>
      <w:r w:rsidRPr="00762617">
        <w:rPr>
          <w:rFonts w:ascii="Arial" w:hAnsi="Arial" w:cs="Arial"/>
          <w:bCs/>
          <w:spacing w:val="-3"/>
          <w:sz w:val="22"/>
          <w:szCs w:val="22"/>
        </w:rPr>
        <w:t xml:space="preserve"> have been extended to include an additional nine Commonwealth child sex offences. </w:t>
      </w:r>
      <w:r w:rsidR="00762617" w:rsidRPr="00762617">
        <w:rPr>
          <w:rFonts w:ascii="Arial" w:hAnsi="Arial" w:cs="Arial"/>
          <w:bCs/>
          <w:spacing w:val="-3"/>
          <w:sz w:val="22"/>
          <w:szCs w:val="22"/>
        </w:rPr>
        <w:t xml:space="preserve">This will </w:t>
      </w:r>
      <w:r w:rsidR="00426D2B">
        <w:rPr>
          <w:rFonts w:ascii="Arial" w:hAnsi="Arial" w:cs="Arial"/>
          <w:bCs/>
          <w:spacing w:val="-3"/>
          <w:sz w:val="22"/>
          <w:szCs w:val="22"/>
        </w:rPr>
        <w:t>ensure perpetrators of new and emerging child sex offences are captured under the child protection offender reporting regime.</w:t>
      </w:r>
      <w:r w:rsidR="00762617" w:rsidRPr="00762617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7935636B" w14:textId="6EE2967F" w:rsidR="00C436BD" w:rsidRPr="00B2074B" w:rsidRDefault="00354EF5" w:rsidP="0096446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eastAsia="Arial" w:hAnsi="Arial" w:cs="Arial"/>
          <w:color w:val="000000" w:themeColor="text1"/>
          <w:spacing w:val="-3"/>
          <w:sz w:val="22"/>
          <w:szCs w:val="22"/>
        </w:rPr>
      </w:pPr>
      <w:r w:rsidRPr="005D3FCC">
        <w:rPr>
          <w:rFonts w:ascii="Arial" w:eastAsia="Arial" w:hAnsi="Arial" w:cs="Arial"/>
          <w:color w:val="000000" w:themeColor="text1"/>
          <w:sz w:val="22"/>
          <w:szCs w:val="22"/>
        </w:rPr>
        <w:t>The Bill amends the</w:t>
      </w:r>
      <w:r w:rsidR="00D601BB"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D601BB" w:rsidRPr="005D3FCC">
        <w:rPr>
          <w:rFonts w:ascii="Arial" w:eastAsia="Arial" w:hAnsi="Arial" w:cs="Arial"/>
          <w:i/>
          <w:color w:val="000000" w:themeColor="text1"/>
          <w:sz w:val="22"/>
          <w:szCs w:val="22"/>
        </w:rPr>
        <w:t>Corrective Services Act 2006</w:t>
      </w:r>
      <w:r w:rsidR="00D601BB"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D3FCC">
        <w:rPr>
          <w:rFonts w:ascii="Arial" w:eastAsia="Arial" w:hAnsi="Arial" w:cs="Arial"/>
          <w:color w:val="000000" w:themeColor="text1"/>
          <w:sz w:val="22"/>
          <w:szCs w:val="22"/>
        </w:rPr>
        <w:t>(</w:t>
      </w:r>
      <w:r w:rsidR="3585EE3A" w:rsidRPr="005D3FCC">
        <w:rPr>
          <w:rFonts w:ascii="Arial" w:eastAsia="Arial" w:hAnsi="Arial" w:cs="Arial"/>
          <w:color w:val="000000" w:themeColor="text1"/>
          <w:sz w:val="22"/>
          <w:szCs w:val="22"/>
        </w:rPr>
        <w:t>CSA</w:t>
      </w:r>
      <w:r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) to </w:t>
      </w:r>
      <w:r w:rsidR="3585EE3A"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introduce a new </w:t>
      </w:r>
      <w:r w:rsidR="00D601BB"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framework for </w:t>
      </w:r>
      <w:r w:rsidR="3585EE3A"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parole decisions </w:t>
      </w:r>
      <w:r w:rsidR="00732299">
        <w:rPr>
          <w:rFonts w:ascii="Arial" w:eastAsia="Arial" w:hAnsi="Arial" w:cs="Arial"/>
          <w:color w:val="000000" w:themeColor="text1"/>
          <w:sz w:val="22"/>
          <w:szCs w:val="22"/>
        </w:rPr>
        <w:t xml:space="preserve">that affect </w:t>
      </w:r>
      <w:r w:rsidR="3585EE3A"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a </w:t>
      </w:r>
      <w:r w:rsidR="00D601BB"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life </w:t>
      </w:r>
      <w:r w:rsidR="3585EE3A"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sentenced prisoner who has committed </w:t>
      </w:r>
      <w:r w:rsidR="00D601BB"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multiple murders or </w:t>
      </w:r>
      <w:r w:rsidR="3585EE3A" w:rsidRPr="005D3FCC">
        <w:rPr>
          <w:rFonts w:ascii="Arial" w:eastAsia="Arial" w:hAnsi="Arial" w:cs="Arial"/>
          <w:color w:val="000000" w:themeColor="text1"/>
          <w:sz w:val="22"/>
          <w:szCs w:val="22"/>
        </w:rPr>
        <w:t>murdered</w:t>
      </w:r>
      <w:r w:rsidR="00D601BB"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 a child</w:t>
      </w:r>
      <w:r w:rsidR="3585EE3A"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 (restricted prisoner). This includes a discretion for </w:t>
      </w:r>
      <w:r w:rsidR="00852251" w:rsidRPr="005D3FCC">
        <w:rPr>
          <w:rFonts w:ascii="Arial" w:eastAsia="Arial" w:hAnsi="Arial" w:cs="Arial"/>
          <w:color w:val="000000" w:themeColor="text1"/>
          <w:sz w:val="22"/>
          <w:szCs w:val="22"/>
        </w:rPr>
        <w:t>the President</w:t>
      </w:r>
      <w:r w:rsidR="3585EE3A"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 of the </w:t>
      </w:r>
      <w:r w:rsidR="00852251" w:rsidRPr="005D3FCC">
        <w:rPr>
          <w:rFonts w:ascii="Arial" w:eastAsia="Arial" w:hAnsi="Arial" w:cs="Arial"/>
          <w:color w:val="000000" w:themeColor="text1"/>
          <w:sz w:val="22"/>
          <w:szCs w:val="22"/>
        </w:rPr>
        <w:t>Parole Board Queensland</w:t>
      </w:r>
      <w:r w:rsidR="3585EE3A"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 (the Board)</w:t>
      </w:r>
      <w:r w:rsidR="00852251"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 to declare </w:t>
      </w:r>
      <w:r w:rsidR="006C18B8"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that </w:t>
      </w:r>
      <w:r w:rsidR="3585EE3A" w:rsidRPr="005D3FCC">
        <w:rPr>
          <w:rFonts w:ascii="Arial" w:eastAsia="Arial" w:hAnsi="Arial" w:cs="Arial"/>
          <w:color w:val="000000" w:themeColor="text1"/>
          <w:sz w:val="22"/>
          <w:szCs w:val="22"/>
        </w:rPr>
        <w:t>a restricted</w:t>
      </w:r>
      <w:r w:rsidR="00852251"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 prisoner not</w:t>
      </w:r>
      <w:r w:rsidR="0073229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852251"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be considered for parole for up to </w:t>
      </w:r>
      <w:r w:rsidR="004F4144" w:rsidRPr="005D3FCC">
        <w:rPr>
          <w:rFonts w:ascii="Arial" w:eastAsia="Arial" w:hAnsi="Arial" w:cs="Arial"/>
          <w:color w:val="000000" w:themeColor="text1"/>
          <w:sz w:val="22"/>
          <w:szCs w:val="22"/>
        </w:rPr>
        <w:t>10</w:t>
      </w:r>
      <w:r w:rsidR="00852251"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 years.</w:t>
      </w:r>
      <w:r w:rsidR="004F4144"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585EE3A"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The amendments also provide that a restricted prisoner subject to </w:t>
      </w:r>
      <w:r w:rsidR="003B12B7" w:rsidRPr="005D3FCC">
        <w:rPr>
          <w:rFonts w:ascii="Arial" w:eastAsia="Arial" w:hAnsi="Arial" w:cs="Arial"/>
          <w:color w:val="000000" w:themeColor="text1"/>
          <w:sz w:val="22"/>
          <w:szCs w:val="22"/>
        </w:rPr>
        <w:t>such</w:t>
      </w:r>
      <w:r w:rsidR="3585EE3A"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 declaration meet</w:t>
      </w:r>
      <w:r w:rsidR="00732299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="3585EE3A"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 a higher threshold for exceptional circumstances parole. When</w:t>
      </w:r>
      <w:r w:rsidR="00C436BD"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 a declaration is not </w:t>
      </w:r>
      <w:r w:rsidR="3585EE3A" w:rsidRPr="005D3FCC">
        <w:rPr>
          <w:rFonts w:ascii="Arial" w:eastAsia="Arial" w:hAnsi="Arial" w:cs="Arial"/>
          <w:color w:val="000000" w:themeColor="text1"/>
          <w:sz w:val="22"/>
          <w:szCs w:val="22"/>
        </w:rPr>
        <w:t>in force,</w:t>
      </w:r>
      <w:r w:rsidR="00C436BD"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 the </w:t>
      </w:r>
      <w:r w:rsidR="3585EE3A" w:rsidRPr="005D3FCC">
        <w:rPr>
          <w:rFonts w:ascii="Arial" w:eastAsia="Arial" w:hAnsi="Arial" w:cs="Arial"/>
          <w:color w:val="000000" w:themeColor="text1"/>
          <w:sz w:val="22"/>
          <w:szCs w:val="22"/>
        </w:rPr>
        <w:t>Bill creates a</w:t>
      </w:r>
      <w:r w:rsidR="00C436BD"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 presumption against parole </w:t>
      </w:r>
      <w:r w:rsidR="3585EE3A" w:rsidRPr="005D3FCC">
        <w:rPr>
          <w:rFonts w:ascii="Arial" w:eastAsia="Arial" w:hAnsi="Arial" w:cs="Arial"/>
          <w:color w:val="000000" w:themeColor="text1"/>
          <w:sz w:val="22"/>
          <w:szCs w:val="22"/>
        </w:rPr>
        <w:t>plac</w:t>
      </w:r>
      <w:r w:rsidR="003B12B7" w:rsidRPr="005D3FCC">
        <w:rPr>
          <w:rFonts w:ascii="Arial" w:eastAsia="Arial" w:hAnsi="Arial" w:cs="Arial"/>
          <w:color w:val="000000" w:themeColor="text1"/>
          <w:sz w:val="22"/>
          <w:szCs w:val="22"/>
        </w:rPr>
        <w:t>ing</w:t>
      </w:r>
      <w:r w:rsidR="3585EE3A"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 the onus on a restricted prisoner to demonstrate </w:t>
      </w:r>
      <w:r w:rsidR="00C436BD"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they </w:t>
      </w:r>
      <w:r w:rsidR="3585EE3A" w:rsidRPr="005D3FCC">
        <w:rPr>
          <w:rFonts w:ascii="Arial" w:eastAsia="Arial" w:hAnsi="Arial" w:cs="Arial"/>
          <w:color w:val="000000" w:themeColor="text1"/>
          <w:sz w:val="22"/>
          <w:szCs w:val="22"/>
        </w:rPr>
        <w:t>do</w:t>
      </w:r>
      <w:r w:rsidR="004F4144"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C436BD"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not </w:t>
      </w:r>
      <w:r w:rsidR="00732299">
        <w:rPr>
          <w:rFonts w:ascii="Arial" w:eastAsia="Arial" w:hAnsi="Arial" w:cs="Arial"/>
          <w:color w:val="000000" w:themeColor="text1"/>
          <w:sz w:val="22"/>
          <w:szCs w:val="22"/>
        </w:rPr>
        <w:t xml:space="preserve">present </w:t>
      </w:r>
      <w:r w:rsidR="3585EE3A" w:rsidRPr="005D3FCC">
        <w:rPr>
          <w:rFonts w:ascii="Arial" w:eastAsia="Arial" w:hAnsi="Arial" w:cs="Arial"/>
          <w:color w:val="000000" w:themeColor="text1"/>
          <w:sz w:val="22"/>
          <w:szCs w:val="22"/>
        </w:rPr>
        <w:t>an unacceptable risk</w:t>
      </w:r>
      <w:r w:rsidR="00C436BD" w:rsidRPr="005D3FCC">
        <w:rPr>
          <w:rFonts w:ascii="Arial" w:hAnsi="Arial" w:cs="Arial"/>
          <w:spacing w:val="-3"/>
          <w:sz w:val="22"/>
          <w:szCs w:val="22"/>
        </w:rPr>
        <w:t>.</w:t>
      </w:r>
    </w:p>
    <w:p w14:paraId="5F14DC01" w14:textId="36240070" w:rsidR="005D3FCC" w:rsidRPr="00B2074B" w:rsidRDefault="005D3FCC" w:rsidP="0096446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eastAsia="Arial" w:hAnsi="Arial" w:cs="Arial"/>
          <w:color w:val="000000" w:themeColor="text1"/>
          <w:spacing w:val="-3"/>
          <w:sz w:val="22"/>
          <w:szCs w:val="22"/>
        </w:rPr>
      </w:pPr>
      <w:r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Additional amendments to the CSA will strengthen the ‘No Body, No Parole’ framework. </w:t>
      </w:r>
      <w:r w:rsidR="00DC47A5">
        <w:rPr>
          <w:rFonts w:ascii="Arial" w:eastAsia="Arial" w:hAnsi="Arial" w:cs="Arial"/>
          <w:color w:val="000000" w:themeColor="text1"/>
          <w:sz w:val="22"/>
          <w:szCs w:val="22"/>
        </w:rPr>
        <w:t>The a</w:t>
      </w:r>
      <w:r w:rsidRPr="005D3FCC">
        <w:rPr>
          <w:rFonts w:ascii="Arial" w:eastAsia="Arial" w:hAnsi="Arial" w:cs="Arial"/>
          <w:color w:val="000000" w:themeColor="text1"/>
          <w:sz w:val="22"/>
          <w:szCs w:val="22"/>
        </w:rPr>
        <w:t>mendments introduce</w:t>
      </w:r>
      <w:r w:rsidR="003C4BE6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 a new discretion for the Board to consider a prisoner’s cooperation in locating a homicide victim’s remains at any time after sentencing, instead of requiring the Board to wait until the prisoner applies for parole. Where the Board has determined that a ‘No Body No Parole’ prisoner has not co-operated satisfactorily (no cooperation declaration), </w:t>
      </w:r>
      <w:r w:rsidRPr="00B2074B">
        <w:rPr>
          <w:rFonts w:ascii="Arial" w:eastAsia="Arial" w:hAnsi="Arial" w:cs="Arial"/>
          <w:color w:val="000000" w:themeColor="text1"/>
          <w:sz w:val="22"/>
          <w:szCs w:val="22"/>
        </w:rPr>
        <w:t>the prisoner is restricted</w:t>
      </w:r>
      <w:r w:rsidRPr="005D3FCC">
        <w:rPr>
          <w:rFonts w:ascii="Arial" w:eastAsia="Arial" w:hAnsi="Arial" w:cs="Arial"/>
          <w:color w:val="000000" w:themeColor="text1"/>
          <w:sz w:val="22"/>
          <w:szCs w:val="22"/>
        </w:rPr>
        <w:t xml:space="preserve"> from reapplying for parole where there is no new cooperation</w:t>
      </w:r>
      <w:r w:rsidRPr="005D3FCC">
        <w:rPr>
          <w:rFonts w:ascii="Arial" w:hAnsi="Arial" w:cs="Arial"/>
          <w:spacing w:val="-3"/>
          <w:sz w:val="22"/>
          <w:szCs w:val="22"/>
        </w:rPr>
        <w:t>.</w:t>
      </w:r>
    </w:p>
    <w:p w14:paraId="1076A432" w14:textId="0885B8BD" w:rsidR="21215B79" w:rsidRDefault="21215B79" w:rsidP="0096446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color w:val="000000" w:themeColor="text1"/>
          <w:szCs w:val="24"/>
        </w:rPr>
      </w:pPr>
      <w:r w:rsidRPr="172C1C70">
        <w:rPr>
          <w:rFonts w:ascii="Arial" w:eastAsia="Arial" w:hAnsi="Arial" w:cs="Arial"/>
          <w:color w:val="000000" w:themeColor="text1"/>
          <w:sz w:val="22"/>
          <w:szCs w:val="22"/>
        </w:rPr>
        <w:t>Further amendments support the Board’s effective operations</w:t>
      </w:r>
      <w:r w:rsidR="00C57798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3580AFD3" w14:textId="0AC6679D" w:rsidR="00EE3A97" w:rsidRPr="0039773B" w:rsidRDefault="00447CAE" w:rsidP="0096446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color w:val="000000" w:themeColor="text1"/>
          <w:spacing w:val="-3"/>
          <w:szCs w:val="24"/>
        </w:rPr>
      </w:pP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="00EE3A97">
        <w:rPr>
          <w:rFonts w:ascii="Arial" w:hAnsi="Arial" w:cs="Arial"/>
          <w:bCs/>
          <w:spacing w:val="-3"/>
          <w:sz w:val="22"/>
          <w:szCs w:val="22"/>
        </w:rPr>
        <w:t xml:space="preserve"> new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indictable </w:t>
      </w:r>
      <w:r w:rsidR="00EE3A97">
        <w:rPr>
          <w:rFonts w:ascii="Arial" w:hAnsi="Arial" w:cs="Arial"/>
          <w:bCs/>
          <w:spacing w:val="-3"/>
          <w:sz w:val="22"/>
          <w:szCs w:val="22"/>
        </w:rPr>
        <w:t xml:space="preserve">offence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is created in the </w:t>
      </w:r>
      <w:r>
        <w:rPr>
          <w:rFonts w:ascii="Arial" w:hAnsi="Arial" w:cs="Arial"/>
          <w:bCs/>
          <w:i/>
          <w:iCs/>
          <w:spacing w:val="-3"/>
          <w:sz w:val="22"/>
          <w:szCs w:val="22"/>
        </w:rPr>
        <w:t>Police Service Administration Act 1990</w:t>
      </w:r>
      <w:r w:rsidR="00896CDA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</w:t>
      </w:r>
      <w:r w:rsidR="00896CDA">
        <w:rPr>
          <w:rFonts w:ascii="Arial" w:hAnsi="Arial" w:cs="Arial"/>
          <w:bCs/>
          <w:spacing w:val="-3"/>
          <w:sz w:val="22"/>
          <w:szCs w:val="22"/>
        </w:rPr>
        <w:t>and CSA</w:t>
      </w:r>
      <w:r w:rsidR="00732299">
        <w:rPr>
          <w:rFonts w:ascii="Arial" w:hAnsi="Arial" w:cs="Arial"/>
          <w:bCs/>
          <w:spacing w:val="-3"/>
          <w:sz w:val="22"/>
          <w:szCs w:val="22"/>
        </w:rPr>
        <w:t xml:space="preserve">:  </w:t>
      </w:r>
      <w:r w:rsidR="00EE3A97">
        <w:rPr>
          <w:rFonts w:ascii="Arial" w:hAnsi="Arial" w:cs="Arial"/>
          <w:bCs/>
          <w:spacing w:val="-3"/>
          <w:sz w:val="22"/>
          <w:szCs w:val="22"/>
        </w:rPr>
        <w:t>to seriously injure or kill a police</w:t>
      </w:r>
      <w:r w:rsidR="00896CDA">
        <w:rPr>
          <w:rFonts w:ascii="Arial" w:hAnsi="Arial" w:cs="Arial"/>
          <w:bCs/>
          <w:spacing w:val="-3"/>
          <w:sz w:val="22"/>
          <w:szCs w:val="22"/>
        </w:rPr>
        <w:t xml:space="preserve"> dog, corrective services</w:t>
      </w:r>
      <w:r w:rsidR="00EE3A97">
        <w:rPr>
          <w:rFonts w:ascii="Arial" w:hAnsi="Arial" w:cs="Arial"/>
          <w:bCs/>
          <w:spacing w:val="-3"/>
          <w:sz w:val="22"/>
          <w:szCs w:val="22"/>
        </w:rPr>
        <w:t xml:space="preserve"> dog</w:t>
      </w:r>
      <w:r w:rsidR="00896CDA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EE3A97">
        <w:rPr>
          <w:rFonts w:ascii="Arial" w:hAnsi="Arial" w:cs="Arial"/>
          <w:bCs/>
          <w:spacing w:val="-3"/>
          <w:sz w:val="22"/>
          <w:szCs w:val="22"/>
        </w:rPr>
        <w:t>or</w:t>
      </w:r>
      <w:r w:rsidR="00896CDA">
        <w:rPr>
          <w:rFonts w:ascii="Arial" w:hAnsi="Arial" w:cs="Arial"/>
          <w:bCs/>
          <w:spacing w:val="-3"/>
          <w:sz w:val="22"/>
          <w:szCs w:val="22"/>
        </w:rPr>
        <w:t xml:space="preserve"> police</w:t>
      </w:r>
      <w:r w:rsidR="00EE3A97">
        <w:rPr>
          <w:rFonts w:ascii="Arial" w:hAnsi="Arial" w:cs="Arial"/>
          <w:bCs/>
          <w:spacing w:val="-3"/>
          <w:sz w:val="22"/>
          <w:szCs w:val="22"/>
        </w:rPr>
        <w:t xml:space="preserve"> horse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732299">
        <w:rPr>
          <w:rFonts w:ascii="Arial" w:hAnsi="Arial" w:cs="Arial"/>
          <w:bCs/>
          <w:spacing w:val="-3"/>
          <w:sz w:val="22"/>
          <w:szCs w:val="22"/>
        </w:rPr>
        <w:t xml:space="preserve">is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punishable by a maximum penalty of </w:t>
      </w:r>
      <w:r w:rsidR="0000201D">
        <w:rPr>
          <w:rFonts w:ascii="Arial" w:hAnsi="Arial" w:cs="Arial"/>
          <w:bCs/>
          <w:spacing w:val="-3"/>
          <w:sz w:val="22"/>
          <w:szCs w:val="22"/>
        </w:rPr>
        <w:t xml:space="preserve">five </w:t>
      </w:r>
      <w:r>
        <w:rPr>
          <w:rFonts w:ascii="Arial" w:hAnsi="Arial" w:cs="Arial"/>
          <w:bCs/>
          <w:spacing w:val="-3"/>
          <w:sz w:val="22"/>
          <w:szCs w:val="22"/>
        </w:rPr>
        <w:t>years imprisonment</w:t>
      </w:r>
      <w:r w:rsidR="00A543C8">
        <w:rPr>
          <w:rFonts w:ascii="Arial" w:hAnsi="Arial" w:cs="Arial"/>
          <w:bCs/>
          <w:spacing w:val="-3"/>
          <w:sz w:val="22"/>
          <w:szCs w:val="22"/>
        </w:rPr>
        <w:t>.</w:t>
      </w:r>
      <w:r w:rsidR="10C476C3" w:rsidRPr="172C1C70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1F825E4D" w14:textId="77777777" w:rsidR="0039773B" w:rsidRPr="0039773B" w:rsidRDefault="0039773B" w:rsidP="0096446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B7FAB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F91C3F">
        <w:rPr>
          <w:rFonts w:ascii="Arial" w:hAnsi="Arial" w:cs="Arial"/>
          <w:bCs/>
          <w:spacing w:val="-3"/>
          <w:sz w:val="22"/>
          <w:szCs w:val="22"/>
        </w:rPr>
        <w:t xml:space="preserve"> that the Police Powers and Responsibilities and Other Legislation Amendment Bill 2021 (the Bill) be introduced into the Legislative Assembly.</w:t>
      </w:r>
    </w:p>
    <w:p w14:paraId="2CC16D2C" w14:textId="77777777" w:rsidR="0039773B" w:rsidRPr="0039773B" w:rsidRDefault="0039773B" w:rsidP="00964467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</w:pPr>
      <w:r w:rsidRPr="0039773B"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  <w:t>Attachments</w:t>
      </w:r>
    </w:p>
    <w:p w14:paraId="1385FD7D" w14:textId="7B65EBE5" w:rsidR="0039773B" w:rsidRPr="00E2615B" w:rsidRDefault="003526DC" w:rsidP="0039773B">
      <w:pPr>
        <w:numPr>
          <w:ilvl w:val="0"/>
          <w:numId w:val="3"/>
        </w:numPr>
        <w:tabs>
          <w:tab w:val="num" w:pos="814"/>
        </w:tabs>
        <w:spacing w:before="120"/>
        <w:ind w:left="811" w:hanging="454"/>
        <w:jc w:val="both"/>
        <w:rPr>
          <w:rFonts w:ascii="Arial" w:hAnsi="Arial" w:cs="Arial"/>
          <w:sz w:val="22"/>
          <w:szCs w:val="22"/>
        </w:rPr>
      </w:pPr>
      <w:hyperlink r:id="rId10" w:history="1">
        <w:r w:rsidR="0039773B" w:rsidRPr="0096172D">
          <w:rPr>
            <w:rStyle w:val="Hyperlink"/>
            <w:rFonts w:ascii="Arial" w:hAnsi="Arial" w:cs="Arial"/>
            <w:sz w:val="22"/>
            <w:szCs w:val="22"/>
          </w:rPr>
          <w:t>Police Powers and Responsibilities and Other Legislation Amendment Bill 2021</w:t>
        </w:r>
      </w:hyperlink>
    </w:p>
    <w:p w14:paraId="165A6959" w14:textId="120EE83A" w:rsidR="0039773B" w:rsidRDefault="003526DC" w:rsidP="0039773B">
      <w:pPr>
        <w:numPr>
          <w:ilvl w:val="0"/>
          <w:numId w:val="3"/>
        </w:numPr>
        <w:tabs>
          <w:tab w:val="num" w:pos="814"/>
        </w:tabs>
        <w:spacing w:before="120"/>
        <w:ind w:left="811" w:hanging="454"/>
        <w:jc w:val="both"/>
        <w:rPr>
          <w:rFonts w:ascii="Arial" w:hAnsi="Arial" w:cs="Arial"/>
          <w:sz w:val="22"/>
          <w:szCs w:val="22"/>
        </w:rPr>
      </w:pPr>
      <w:hyperlink r:id="rId11" w:history="1">
        <w:r w:rsidR="0039773B" w:rsidRPr="0096172D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25883301" w14:textId="4A4BE4F9" w:rsidR="0039773B" w:rsidRPr="00AE3486" w:rsidRDefault="003526DC" w:rsidP="0039773B">
      <w:pPr>
        <w:numPr>
          <w:ilvl w:val="0"/>
          <w:numId w:val="3"/>
        </w:numPr>
        <w:tabs>
          <w:tab w:val="num" w:pos="814"/>
        </w:tabs>
        <w:spacing w:before="120"/>
        <w:ind w:left="811" w:hanging="454"/>
        <w:jc w:val="both"/>
        <w:rPr>
          <w:rFonts w:ascii="Arial" w:hAnsi="Arial" w:cs="Arial"/>
          <w:sz w:val="22"/>
          <w:szCs w:val="22"/>
        </w:rPr>
      </w:pPr>
      <w:hyperlink r:id="rId12" w:history="1">
        <w:r w:rsidR="0039773B" w:rsidRPr="0096172D">
          <w:rPr>
            <w:rStyle w:val="Hyperlink"/>
            <w:rFonts w:ascii="Arial" w:hAnsi="Arial" w:cs="Arial"/>
            <w:sz w:val="22"/>
            <w:szCs w:val="22"/>
          </w:rPr>
          <w:t xml:space="preserve">Statement of Compatibility with the </w:t>
        </w:r>
        <w:r w:rsidR="0039773B" w:rsidRPr="0096172D">
          <w:rPr>
            <w:rStyle w:val="Hyperlink"/>
            <w:rFonts w:ascii="Arial" w:hAnsi="Arial" w:cs="Arial"/>
            <w:i/>
            <w:iCs/>
            <w:sz w:val="22"/>
            <w:szCs w:val="22"/>
          </w:rPr>
          <w:t>Human Rights Act 2019</w:t>
        </w:r>
      </w:hyperlink>
    </w:p>
    <w:sectPr w:rsidR="0039773B" w:rsidRPr="00AE3486" w:rsidSect="00964467">
      <w:headerReference w:type="default" r:id="rId13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F5F89" w14:textId="77777777" w:rsidR="00B6245B" w:rsidRDefault="00B6245B" w:rsidP="00D6589B">
      <w:r>
        <w:separator/>
      </w:r>
    </w:p>
  </w:endnote>
  <w:endnote w:type="continuationSeparator" w:id="0">
    <w:p w14:paraId="38303B2A" w14:textId="77777777" w:rsidR="00B6245B" w:rsidRDefault="00B6245B" w:rsidP="00D6589B">
      <w:r>
        <w:continuationSeparator/>
      </w:r>
    </w:p>
  </w:endnote>
  <w:endnote w:type="continuationNotice" w:id="1">
    <w:p w14:paraId="08912201" w14:textId="77777777" w:rsidR="00B6245B" w:rsidRDefault="00B624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FD547" w14:textId="77777777" w:rsidR="00B6245B" w:rsidRDefault="00B6245B" w:rsidP="00D6589B">
      <w:r>
        <w:separator/>
      </w:r>
    </w:p>
  </w:footnote>
  <w:footnote w:type="continuationSeparator" w:id="0">
    <w:p w14:paraId="2DD016C4" w14:textId="77777777" w:rsidR="00B6245B" w:rsidRDefault="00B6245B" w:rsidP="00D6589B">
      <w:r>
        <w:continuationSeparator/>
      </w:r>
    </w:p>
  </w:footnote>
  <w:footnote w:type="continuationNotice" w:id="1">
    <w:p w14:paraId="40F60D1B" w14:textId="77777777" w:rsidR="00B6245B" w:rsidRDefault="00B624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EE6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041CF3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7B88333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C40CD4">
      <w:rPr>
        <w:rFonts w:ascii="Arial" w:hAnsi="Arial" w:cs="Arial"/>
        <w:b/>
        <w:color w:val="auto"/>
        <w:sz w:val="22"/>
        <w:szCs w:val="22"/>
        <w:lang w:eastAsia="en-US"/>
      </w:rPr>
      <w:t>September 2021</w:t>
    </w:r>
  </w:p>
  <w:p w14:paraId="4C8DF0CD" w14:textId="77777777" w:rsidR="00CB1501" w:rsidRDefault="00C40CD4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Police Powers and Responsibilities and Other Legislation Amendment Bill 2021</w:t>
    </w:r>
  </w:p>
  <w:p w14:paraId="7C5BC7EE" w14:textId="77777777" w:rsidR="007E5400" w:rsidRDefault="00C8555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Police</w:t>
    </w:r>
    <w:r w:rsidR="007E5400">
      <w:rPr>
        <w:rFonts w:ascii="Arial" w:hAnsi="Arial" w:cs="Arial"/>
        <w:b/>
        <w:sz w:val="22"/>
        <w:szCs w:val="22"/>
        <w:u w:val="single"/>
      </w:rPr>
      <w:t xml:space="preserve"> and Corrective Services</w:t>
    </w:r>
    <w:r w:rsidR="00DB5287">
      <w:rPr>
        <w:rFonts w:ascii="Arial" w:hAnsi="Arial" w:cs="Arial"/>
        <w:b/>
        <w:sz w:val="22"/>
        <w:szCs w:val="22"/>
        <w:u w:val="single"/>
      </w:rPr>
      <w:t xml:space="preserve"> and Minister for Fire and Emergency Services</w:t>
    </w:r>
  </w:p>
  <w:p w14:paraId="6811DF08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74DDB"/>
    <w:multiLevelType w:val="multilevel"/>
    <w:tmpl w:val="2088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D20CFC"/>
    <w:multiLevelType w:val="hybridMultilevel"/>
    <w:tmpl w:val="B280562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2A36592"/>
    <w:multiLevelType w:val="hybridMultilevel"/>
    <w:tmpl w:val="1AFA4856"/>
    <w:lvl w:ilvl="0" w:tplc="FFFFFFF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b w:val="0"/>
        <w:bCs/>
      </w:rPr>
    </w:lvl>
    <w:lvl w:ilvl="1" w:tplc="0C0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C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80D90"/>
    <w:multiLevelType w:val="hybridMultilevel"/>
    <w:tmpl w:val="DF2AFE12"/>
    <w:lvl w:ilvl="0" w:tplc="9702BC82">
      <w:start w:val="1"/>
      <w:numFmt w:val="decimal"/>
      <w:lvlText w:val="%1."/>
      <w:lvlJc w:val="left"/>
      <w:pPr>
        <w:ind w:left="720" w:hanging="360"/>
      </w:pPr>
    </w:lvl>
    <w:lvl w:ilvl="1" w:tplc="7CD0A01E">
      <w:start w:val="1"/>
      <w:numFmt w:val="lowerLetter"/>
      <w:lvlText w:val="%2."/>
      <w:lvlJc w:val="left"/>
      <w:pPr>
        <w:ind w:left="1440" w:hanging="360"/>
      </w:pPr>
    </w:lvl>
    <w:lvl w:ilvl="2" w:tplc="4CC69FD6">
      <w:start w:val="1"/>
      <w:numFmt w:val="lowerRoman"/>
      <w:lvlText w:val="%3."/>
      <w:lvlJc w:val="right"/>
      <w:pPr>
        <w:ind w:left="2160" w:hanging="180"/>
      </w:pPr>
    </w:lvl>
    <w:lvl w:ilvl="3" w:tplc="6A360FD6">
      <w:start w:val="1"/>
      <w:numFmt w:val="decimal"/>
      <w:lvlText w:val="%4."/>
      <w:lvlJc w:val="left"/>
      <w:pPr>
        <w:ind w:left="2880" w:hanging="360"/>
      </w:pPr>
    </w:lvl>
    <w:lvl w:ilvl="4" w:tplc="D3700ABE">
      <w:start w:val="1"/>
      <w:numFmt w:val="lowerLetter"/>
      <w:lvlText w:val="%5."/>
      <w:lvlJc w:val="left"/>
      <w:pPr>
        <w:ind w:left="3600" w:hanging="360"/>
      </w:pPr>
    </w:lvl>
    <w:lvl w:ilvl="5" w:tplc="A06A7380">
      <w:start w:val="1"/>
      <w:numFmt w:val="lowerRoman"/>
      <w:lvlText w:val="%6."/>
      <w:lvlJc w:val="right"/>
      <w:pPr>
        <w:ind w:left="4320" w:hanging="180"/>
      </w:pPr>
    </w:lvl>
    <w:lvl w:ilvl="6" w:tplc="7B1EC588">
      <w:start w:val="1"/>
      <w:numFmt w:val="decimal"/>
      <w:lvlText w:val="%7."/>
      <w:lvlJc w:val="left"/>
      <w:pPr>
        <w:ind w:left="5040" w:hanging="360"/>
      </w:pPr>
    </w:lvl>
    <w:lvl w:ilvl="7" w:tplc="6AC0A7D2">
      <w:start w:val="1"/>
      <w:numFmt w:val="lowerLetter"/>
      <w:lvlText w:val="%8."/>
      <w:lvlJc w:val="left"/>
      <w:pPr>
        <w:ind w:left="5760" w:hanging="360"/>
      </w:pPr>
    </w:lvl>
    <w:lvl w:ilvl="8" w:tplc="BF6037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F4709"/>
    <w:multiLevelType w:val="multilevel"/>
    <w:tmpl w:val="B9C8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9B6E4E"/>
    <w:multiLevelType w:val="multilevel"/>
    <w:tmpl w:val="F24873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DDE78C2"/>
    <w:multiLevelType w:val="multilevel"/>
    <w:tmpl w:val="F21226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58E70A9"/>
    <w:multiLevelType w:val="multilevel"/>
    <w:tmpl w:val="8E8AB9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6653889"/>
    <w:multiLevelType w:val="multilevel"/>
    <w:tmpl w:val="1D60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917B08"/>
    <w:multiLevelType w:val="multilevel"/>
    <w:tmpl w:val="6F46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B86EA6"/>
    <w:multiLevelType w:val="multilevel"/>
    <w:tmpl w:val="70CC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AF6DF1"/>
    <w:multiLevelType w:val="multilevel"/>
    <w:tmpl w:val="EBBE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CC60AB"/>
    <w:multiLevelType w:val="multilevel"/>
    <w:tmpl w:val="9BD01F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6F167A9F"/>
    <w:multiLevelType w:val="multilevel"/>
    <w:tmpl w:val="171CFA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A9577C"/>
    <w:multiLevelType w:val="multilevel"/>
    <w:tmpl w:val="138C3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7BB06DAE"/>
    <w:multiLevelType w:val="multilevel"/>
    <w:tmpl w:val="0400B9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7F176F87"/>
    <w:multiLevelType w:val="hybridMultilevel"/>
    <w:tmpl w:val="10305F64"/>
    <w:lvl w:ilvl="0" w:tplc="F072C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"/>
  </w:num>
  <w:num w:numId="4">
    <w:abstractNumId w:val="11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16"/>
  </w:num>
  <w:num w:numId="10">
    <w:abstractNumId w:val="9"/>
  </w:num>
  <w:num w:numId="11">
    <w:abstractNumId w:val="6"/>
  </w:num>
  <w:num w:numId="12">
    <w:abstractNumId w:val="0"/>
  </w:num>
  <w:num w:numId="13">
    <w:abstractNumId w:val="15"/>
  </w:num>
  <w:num w:numId="14">
    <w:abstractNumId w:val="7"/>
  </w:num>
  <w:num w:numId="15">
    <w:abstractNumId w:val="4"/>
  </w:num>
  <w:num w:numId="16">
    <w:abstractNumId w:val="8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80"/>
    <w:rsid w:val="0000201D"/>
    <w:rsid w:val="000056AB"/>
    <w:rsid w:val="00080F8F"/>
    <w:rsid w:val="0009336B"/>
    <w:rsid w:val="000A23E0"/>
    <w:rsid w:val="0010384C"/>
    <w:rsid w:val="00144B0B"/>
    <w:rsid w:val="00152095"/>
    <w:rsid w:val="001673C8"/>
    <w:rsid w:val="00174117"/>
    <w:rsid w:val="001B71FB"/>
    <w:rsid w:val="00207DBD"/>
    <w:rsid w:val="00211080"/>
    <w:rsid w:val="00225116"/>
    <w:rsid w:val="00236006"/>
    <w:rsid w:val="00280DCA"/>
    <w:rsid w:val="002868B3"/>
    <w:rsid w:val="00315D55"/>
    <w:rsid w:val="0034156D"/>
    <w:rsid w:val="003526DC"/>
    <w:rsid w:val="00354EF5"/>
    <w:rsid w:val="0039773B"/>
    <w:rsid w:val="003A3872"/>
    <w:rsid w:val="003A3BDD"/>
    <w:rsid w:val="003B0C73"/>
    <w:rsid w:val="003B12B7"/>
    <w:rsid w:val="003C4BE6"/>
    <w:rsid w:val="003F7CE9"/>
    <w:rsid w:val="00426D2B"/>
    <w:rsid w:val="0043543B"/>
    <w:rsid w:val="00447CAE"/>
    <w:rsid w:val="0045687B"/>
    <w:rsid w:val="004F4144"/>
    <w:rsid w:val="00501C66"/>
    <w:rsid w:val="005305A7"/>
    <w:rsid w:val="00550873"/>
    <w:rsid w:val="00553F33"/>
    <w:rsid w:val="005D3FCC"/>
    <w:rsid w:val="00661E83"/>
    <w:rsid w:val="00685707"/>
    <w:rsid w:val="006C18B8"/>
    <w:rsid w:val="006E27DB"/>
    <w:rsid w:val="007264AC"/>
    <w:rsid w:val="007265D0"/>
    <w:rsid w:val="00732299"/>
    <w:rsid w:val="00732E22"/>
    <w:rsid w:val="00741C20"/>
    <w:rsid w:val="00746E96"/>
    <w:rsid w:val="00753893"/>
    <w:rsid w:val="00762617"/>
    <w:rsid w:val="0076402B"/>
    <w:rsid w:val="00790380"/>
    <w:rsid w:val="007B6DFE"/>
    <w:rsid w:val="007D5D46"/>
    <w:rsid w:val="007E5400"/>
    <w:rsid w:val="007F44F4"/>
    <w:rsid w:val="00852251"/>
    <w:rsid w:val="008717E1"/>
    <w:rsid w:val="00874382"/>
    <w:rsid w:val="00896CDA"/>
    <w:rsid w:val="008B7FAB"/>
    <w:rsid w:val="008C0A8E"/>
    <w:rsid w:val="00904077"/>
    <w:rsid w:val="00937A4A"/>
    <w:rsid w:val="0096172D"/>
    <w:rsid w:val="00964467"/>
    <w:rsid w:val="009A1E1A"/>
    <w:rsid w:val="00A37CE1"/>
    <w:rsid w:val="00A543C8"/>
    <w:rsid w:val="00A971BA"/>
    <w:rsid w:val="00AA23D4"/>
    <w:rsid w:val="00AA37DF"/>
    <w:rsid w:val="00AE3486"/>
    <w:rsid w:val="00B044EE"/>
    <w:rsid w:val="00B2074B"/>
    <w:rsid w:val="00B6245B"/>
    <w:rsid w:val="00B939D4"/>
    <w:rsid w:val="00B95A06"/>
    <w:rsid w:val="00BA3BEC"/>
    <w:rsid w:val="00BD31B4"/>
    <w:rsid w:val="00C04220"/>
    <w:rsid w:val="00C216E7"/>
    <w:rsid w:val="00C40CD4"/>
    <w:rsid w:val="00C436BD"/>
    <w:rsid w:val="00C57798"/>
    <w:rsid w:val="00C60AA0"/>
    <w:rsid w:val="00C75E67"/>
    <w:rsid w:val="00C85558"/>
    <w:rsid w:val="00CB1501"/>
    <w:rsid w:val="00CD2D72"/>
    <w:rsid w:val="00CD7A50"/>
    <w:rsid w:val="00CF0D8A"/>
    <w:rsid w:val="00CF4B5F"/>
    <w:rsid w:val="00D601BB"/>
    <w:rsid w:val="00D6589B"/>
    <w:rsid w:val="00D7320B"/>
    <w:rsid w:val="00DB5287"/>
    <w:rsid w:val="00DC47A5"/>
    <w:rsid w:val="00DC572B"/>
    <w:rsid w:val="00E61FEE"/>
    <w:rsid w:val="00EA2902"/>
    <w:rsid w:val="00EE3A97"/>
    <w:rsid w:val="00EF5624"/>
    <w:rsid w:val="00F13005"/>
    <w:rsid w:val="00F24A8A"/>
    <w:rsid w:val="00F35833"/>
    <w:rsid w:val="00F45B99"/>
    <w:rsid w:val="00F94D48"/>
    <w:rsid w:val="00FF6881"/>
    <w:rsid w:val="0916D8BF"/>
    <w:rsid w:val="10C476C3"/>
    <w:rsid w:val="172C1C70"/>
    <w:rsid w:val="21215B79"/>
    <w:rsid w:val="23AE7965"/>
    <w:rsid w:val="2796151B"/>
    <w:rsid w:val="3585EE3A"/>
    <w:rsid w:val="64B5AA20"/>
    <w:rsid w:val="78ABF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135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7CE9"/>
    <w:pPr>
      <w:ind w:left="720"/>
      <w:contextualSpacing/>
    </w:pPr>
  </w:style>
  <w:style w:type="paragraph" w:customStyle="1" w:styleId="paragraph">
    <w:name w:val="paragraph"/>
    <w:basedOn w:val="Normal"/>
    <w:rsid w:val="00D7320B"/>
    <w:pPr>
      <w:spacing w:before="100" w:beforeAutospacing="1" w:after="100" w:afterAutospacing="1"/>
    </w:pPr>
    <w:rPr>
      <w:color w:val="auto"/>
      <w:szCs w:val="24"/>
    </w:rPr>
  </w:style>
  <w:style w:type="character" w:customStyle="1" w:styleId="normaltextrun">
    <w:name w:val="normaltextrun"/>
    <w:basedOn w:val="DefaultParagraphFont"/>
    <w:rsid w:val="00D7320B"/>
  </w:style>
  <w:style w:type="character" w:customStyle="1" w:styleId="eop">
    <w:name w:val="eop"/>
    <w:basedOn w:val="DefaultParagraphFont"/>
    <w:rsid w:val="00D7320B"/>
  </w:style>
  <w:style w:type="character" w:customStyle="1" w:styleId="scxw26118456">
    <w:name w:val="scxw26118456"/>
    <w:basedOn w:val="DefaultParagraphFont"/>
    <w:rsid w:val="00D7320B"/>
  </w:style>
  <w:style w:type="paragraph" w:styleId="NormalWeb">
    <w:name w:val="Normal (Web)"/>
    <w:basedOn w:val="Normal"/>
    <w:uiPriority w:val="99"/>
    <w:semiHidden/>
    <w:unhideWhenUsed/>
    <w:rsid w:val="00C436BD"/>
    <w:pP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</w:rPr>
  </w:style>
  <w:style w:type="table" w:styleId="TableGrid">
    <w:name w:val="Table Grid"/>
    <w:basedOn w:val="TableNormal"/>
    <w:uiPriority w:val="59"/>
    <w:rsid w:val="00BA3B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964467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9617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SoC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08338\Desktop\Att%209-%20Proactive%20release%20summary%201108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6AFB78-8768-4F82-B353-0BAD5CD9E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F0FC6-7A93-414F-9529-6398FB9A0FF1}">
  <ds:schemaRefs>
    <ds:schemaRef ds:uri="63e311de-a790-43ff-be63-577c26c7507c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8ed82f2-f7bd-423c-8698-5e132afe9245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 9- Proactive release summary 11082021.dotx</Template>
  <TotalTime>40</TotalTime>
  <Pages>1</Pages>
  <Words>487</Words>
  <Characters>2701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3181</CharactersWithSpaces>
  <SharedDoc>false</SharedDoc>
  <HyperlinkBase>https://www.cabinet.qld.gov.au/documents/2021/Sep/PPRAOLAB 2021/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9</cp:revision>
  <dcterms:created xsi:type="dcterms:W3CDTF">2021-10-07T05:25:00Z</dcterms:created>
  <dcterms:modified xsi:type="dcterms:W3CDTF">2021-11-26T04:46:00Z</dcterms:modified>
  <cp:category>Police,Legislation,Courts,Drugs,Child_Protection,Corrective_Services,Parole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